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E56F" w14:textId="77777777" w:rsidR="007207FA" w:rsidRDefault="007207FA" w:rsidP="007207FA"/>
    <w:p w14:paraId="276F4F34" w14:textId="77777777" w:rsidR="003D5FB5" w:rsidRDefault="003D5FB5" w:rsidP="003D5FB5">
      <w:pPr>
        <w:jc w:val="both"/>
        <w:rPr>
          <w:rFonts w:ascii="Georgia" w:hAnsi="Georgia"/>
          <w:b/>
          <w:bCs/>
          <w:sz w:val="28"/>
          <w:szCs w:val="28"/>
        </w:rPr>
      </w:pPr>
    </w:p>
    <w:p w14:paraId="7FD37838" w14:textId="743E3C4E" w:rsidR="003D5FB5" w:rsidRPr="00FA45E9" w:rsidRDefault="003D5FB5" w:rsidP="003D5FB5">
      <w:pPr>
        <w:jc w:val="center"/>
        <w:rPr>
          <w:rFonts w:ascii="Georgia" w:hAnsi="Georgia"/>
          <w:b/>
          <w:bCs/>
          <w:sz w:val="28"/>
          <w:szCs w:val="28"/>
        </w:rPr>
      </w:pPr>
      <w:r w:rsidRPr="00FA45E9">
        <w:rPr>
          <w:rFonts w:ascii="Georgia" w:hAnsi="Georgia"/>
          <w:b/>
          <w:bCs/>
          <w:sz w:val="28"/>
          <w:szCs w:val="28"/>
        </w:rPr>
        <w:t>NPSC Advocacy Center Flags Advancing PBM Bill</w:t>
      </w:r>
    </w:p>
    <w:p w14:paraId="6EB8077C" w14:textId="77777777" w:rsidR="003D5FB5" w:rsidRPr="00FA45E9" w:rsidRDefault="003D5FB5" w:rsidP="003D5FB5">
      <w:pPr>
        <w:jc w:val="both"/>
        <w:rPr>
          <w:rFonts w:ascii="Georgia" w:hAnsi="Georgia"/>
        </w:rPr>
      </w:pPr>
    </w:p>
    <w:p w14:paraId="250405BA" w14:textId="77777777" w:rsidR="003D5FB5" w:rsidRPr="00FA45E9" w:rsidRDefault="003D5FB5" w:rsidP="003D5FB5">
      <w:pPr>
        <w:jc w:val="both"/>
        <w:rPr>
          <w:rFonts w:ascii="Georgia" w:hAnsi="Georgia"/>
        </w:rPr>
      </w:pPr>
      <w:r w:rsidRPr="00FA45E9">
        <w:rPr>
          <w:rFonts w:ascii="Georgia" w:hAnsi="Georgia"/>
        </w:rPr>
        <w:t xml:space="preserve">Your NPSC Advocacy Center is always looking for good news from Congress. Last week the U.S. House of Representatives passed H.R. 5378 titled </w:t>
      </w:r>
      <w:r w:rsidRPr="00FA45E9">
        <w:rPr>
          <w:rFonts w:ascii="Georgia" w:hAnsi="Georgia"/>
          <w:i/>
        </w:rPr>
        <w:t>“Lower Cost, More Transparency Act</w:t>
      </w:r>
      <w:r w:rsidRPr="00FA45E9">
        <w:rPr>
          <w:rFonts w:ascii="Georgia" w:hAnsi="Georgia"/>
        </w:rPr>
        <w:t xml:space="preserve">.” Below are a few highlights about what the bill proposes: </w:t>
      </w:r>
    </w:p>
    <w:p w14:paraId="265C76C8" w14:textId="77777777" w:rsidR="003D5FB5" w:rsidRPr="00FA45E9" w:rsidRDefault="003D5FB5" w:rsidP="003D5FB5">
      <w:pPr>
        <w:spacing w:before="240" w:after="240"/>
        <w:jc w:val="both"/>
        <w:rPr>
          <w:rFonts w:ascii="Georgia" w:hAnsi="Georgia"/>
          <w:color w:val="292E31"/>
        </w:rPr>
      </w:pPr>
      <w:r w:rsidRPr="00FA45E9">
        <w:rPr>
          <w:rFonts w:ascii="Georgia" w:hAnsi="Georgia"/>
          <w:b/>
          <w:color w:val="292E31"/>
        </w:rPr>
        <w:t>Spread Pricing Ban:</w:t>
      </w:r>
      <w:r w:rsidRPr="00FA45E9">
        <w:rPr>
          <w:rFonts w:ascii="Georgia" w:hAnsi="Georgia"/>
          <w:color w:val="292E31"/>
        </w:rPr>
        <w:t xml:space="preserve"> Any contract between a state Medicaid program and PBM would have to require that payment for drugs and administrative services be based on a “pharmacy price reimbursement model.” </w:t>
      </w:r>
    </w:p>
    <w:p w14:paraId="444591B3" w14:textId="77777777" w:rsidR="003D5FB5" w:rsidRPr="00FA45E9" w:rsidRDefault="003D5FB5" w:rsidP="003D5FB5">
      <w:pPr>
        <w:spacing w:before="240" w:after="240"/>
        <w:jc w:val="both"/>
        <w:rPr>
          <w:rFonts w:ascii="Georgia" w:hAnsi="Georgia"/>
          <w:color w:val="292E31"/>
        </w:rPr>
      </w:pPr>
      <w:r w:rsidRPr="00FA45E9">
        <w:rPr>
          <w:rFonts w:ascii="Georgia" w:hAnsi="Georgia"/>
          <w:color w:val="292E31"/>
        </w:rPr>
        <w:t xml:space="preserve">That would include requiring any payment made by a PBM to be limited to the ingredient cost and a professional dispensing fee. Payment would have to be passed through entirely to the pharmacy and couldn’t be retroactively denied or reduced unless required by law. </w:t>
      </w:r>
    </w:p>
    <w:p w14:paraId="3BF35EF6" w14:textId="77777777" w:rsidR="003D5FB5" w:rsidRPr="00FA45E9" w:rsidRDefault="003D5FB5" w:rsidP="003D5FB5">
      <w:pPr>
        <w:spacing w:before="240" w:after="240"/>
        <w:jc w:val="both"/>
        <w:rPr>
          <w:rFonts w:ascii="Georgia" w:hAnsi="Georgia"/>
          <w:color w:val="292E31"/>
        </w:rPr>
      </w:pPr>
      <w:r w:rsidRPr="00FA45E9">
        <w:rPr>
          <w:rFonts w:ascii="Georgia" w:hAnsi="Georgia"/>
          <w:color w:val="292E31"/>
        </w:rPr>
        <w:t>States would compensate PBMs through an administrative fee “that reflects the fair market value of providing such services.” PBMs would have to make available to the state, and the Health and Human Services Department when requested, all costs and payments related to covered drugs and administrative services.</w:t>
      </w:r>
    </w:p>
    <w:p w14:paraId="028EE288" w14:textId="77777777" w:rsidR="003D5FB5" w:rsidRPr="00FA45E9" w:rsidRDefault="003D5FB5" w:rsidP="003D5FB5">
      <w:pPr>
        <w:spacing w:before="240" w:after="240"/>
        <w:jc w:val="both"/>
        <w:rPr>
          <w:rFonts w:ascii="Georgia" w:hAnsi="Georgia"/>
          <w:color w:val="292E31"/>
        </w:rPr>
      </w:pPr>
      <w:r w:rsidRPr="00FA45E9">
        <w:rPr>
          <w:rFonts w:ascii="Georgia" w:hAnsi="Georgia"/>
          <w:b/>
          <w:color w:val="292E31"/>
        </w:rPr>
        <w:t xml:space="preserve">PBM Transparency: </w:t>
      </w:r>
      <w:r w:rsidRPr="00FA45E9">
        <w:rPr>
          <w:rFonts w:ascii="Georgia" w:hAnsi="Georgia"/>
          <w:color w:val="292E31"/>
        </w:rPr>
        <w:t>For plans offered by large employers, PBMs would have to report information to group health plans at least twice a year, including:</w:t>
      </w:r>
    </w:p>
    <w:p w14:paraId="3E9522BE" w14:textId="77777777" w:rsidR="003D5FB5" w:rsidRPr="00FA45E9" w:rsidRDefault="003D5FB5" w:rsidP="003D5FB5">
      <w:pPr>
        <w:numPr>
          <w:ilvl w:val="0"/>
          <w:numId w:val="1"/>
        </w:numPr>
        <w:spacing w:before="240"/>
        <w:jc w:val="both"/>
        <w:rPr>
          <w:rFonts w:ascii="Georgia" w:hAnsi="Georgia"/>
        </w:rPr>
      </w:pPr>
      <w:r w:rsidRPr="00FA45E9">
        <w:rPr>
          <w:rFonts w:ascii="Georgia" w:hAnsi="Georgia"/>
          <w:color w:val="292E31"/>
        </w:rPr>
        <w:t>Their drug selections and acquisition costs.</w:t>
      </w:r>
    </w:p>
    <w:p w14:paraId="7A62BAB9" w14:textId="77777777" w:rsidR="003D5FB5" w:rsidRPr="00FA45E9" w:rsidRDefault="003D5FB5" w:rsidP="003D5FB5">
      <w:pPr>
        <w:numPr>
          <w:ilvl w:val="0"/>
          <w:numId w:val="1"/>
        </w:numPr>
        <w:jc w:val="both"/>
        <w:rPr>
          <w:rFonts w:ascii="Georgia" w:hAnsi="Georgia"/>
        </w:rPr>
      </w:pPr>
      <w:r w:rsidRPr="00FA45E9">
        <w:rPr>
          <w:rFonts w:ascii="Georgia" w:hAnsi="Georgia"/>
          <w:color w:val="292E31"/>
        </w:rPr>
        <w:t>Rebates, fees, and other compensation.</w:t>
      </w:r>
    </w:p>
    <w:p w14:paraId="38A24B09" w14:textId="77777777" w:rsidR="003D5FB5" w:rsidRPr="00FA45E9" w:rsidRDefault="003D5FB5" w:rsidP="003D5FB5">
      <w:pPr>
        <w:numPr>
          <w:ilvl w:val="0"/>
          <w:numId w:val="1"/>
        </w:numPr>
        <w:jc w:val="both"/>
        <w:rPr>
          <w:rFonts w:ascii="Georgia" w:hAnsi="Georgia"/>
        </w:rPr>
      </w:pPr>
      <w:r w:rsidRPr="00FA45E9">
        <w:rPr>
          <w:rFonts w:ascii="Georgia" w:hAnsi="Georgia"/>
          <w:color w:val="292E31"/>
        </w:rPr>
        <w:t>Out-of-pocket drug spending by plan participants.</w:t>
      </w:r>
    </w:p>
    <w:p w14:paraId="45256D9D" w14:textId="77777777" w:rsidR="003D5FB5" w:rsidRPr="00FA45E9" w:rsidRDefault="003D5FB5" w:rsidP="003D5FB5">
      <w:pPr>
        <w:numPr>
          <w:ilvl w:val="0"/>
          <w:numId w:val="1"/>
        </w:numPr>
        <w:jc w:val="both"/>
        <w:rPr>
          <w:rFonts w:ascii="Georgia" w:hAnsi="Georgia"/>
        </w:rPr>
      </w:pPr>
      <w:r w:rsidRPr="00FA45E9">
        <w:rPr>
          <w:rFonts w:ascii="Georgia" w:hAnsi="Georgia"/>
          <w:color w:val="292E31"/>
        </w:rPr>
        <w:t>The rationale behind formulary placement for drugs.</w:t>
      </w:r>
    </w:p>
    <w:p w14:paraId="47EAF59A" w14:textId="77777777" w:rsidR="003D5FB5" w:rsidRPr="00FA45E9" w:rsidRDefault="003D5FB5" w:rsidP="003D5FB5">
      <w:pPr>
        <w:numPr>
          <w:ilvl w:val="0"/>
          <w:numId w:val="1"/>
        </w:numPr>
        <w:spacing w:after="240"/>
        <w:jc w:val="both"/>
        <w:rPr>
          <w:rFonts w:ascii="Georgia" w:hAnsi="Georgia"/>
        </w:rPr>
      </w:pPr>
      <w:r w:rsidRPr="00FA45E9">
        <w:rPr>
          <w:rFonts w:ascii="Georgia" w:hAnsi="Georgia"/>
          <w:color w:val="292E31"/>
        </w:rPr>
        <w:t>The percentage of prescriptions dispensed by pharmacies under common ownership with the PBM.</w:t>
      </w:r>
    </w:p>
    <w:p w14:paraId="1BDCFF6C" w14:textId="77777777" w:rsidR="003D5FB5" w:rsidRPr="00FA45E9" w:rsidRDefault="003D5FB5" w:rsidP="003D5FB5">
      <w:pPr>
        <w:spacing w:before="240" w:after="240"/>
        <w:jc w:val="both"/>
        <w:rPr>
          <w:rFonts w:ascii="Georgia" w:hAnsi="Georgia"/>
          <w:color w:val="292E31"/>
          <w:highlight w:val="white"/>
        </w:rPr>
      </w:pPr>
      <w:r w:rsidRPr="00FA45E9">
        <w:rPr>
          <w:rFonts w:ascii="Georgia" w:hAnsi="Georgia"/>
          <w:b/>
          <w:color w:val="292E31"/>
        </w:rPr>
        <w:t>Privacy:</w:t>
      </w:r>
      <w:r w:rsidRPr="00FA45E9">
        <w:rPr>
          <w:rFonts w:ascii="Georgia" w:hAnsi="Georgia"/>
          <w:color w:val="292E31"/>
        </w:rPr>
        <w:t xml:space="preserve"> </w:t>
      </w:r>
      <w:r w:rsidRPr="00FA45E9">
        <w:rPr>
          <w:rFonts w:ascii="Georgia" w:hAnsi="Georgia"/>
          <w:color w:val="292E31"/>
          <w:highlight w:val="white"/>
        </w:rPr>
        <w:t>PBMs would have to abide by privacy, security, and breach notification rules consistent with the Health Insurance Portability and Accountability Act (HIPAA) and other laws.</w:t>
      </w:r>
    </w:p>
    <w:p w14:paraId="083F89FC" w14:textId="77777777" w:rsidR="003D5FB5" w:rsidRPr="00FA45E9" w:rsidRDefault="003D5FB5" w:rsidP="003D5FB5">
      <w:pPr>
        <w:spacing w:before="240" w:after="240"/>
        <w:jc w:val="both"/>
        <w:rPr>
          <w:rFonts w:ascii="Georgia" w:hAnsi="Georgia"/>
          <w:color w:val="292E31"/>
          <w:highlight w:val="white"/>
        </w:rPr>
      </w:pPr>
      <w:r w:rsidRPr="00FA45E9">
        <w:rPr>
          <w:rFonts w:ascii="Georgia" w:hAnsi="Georgia"/>
          <w:b/>
          <w:color w:val="292E31"/>
          <w:highlight w:val="white"/>
        </w:rPr>
        <w:t>‘Gag Clause’ Ban:</w:t>
      </w:r>
      <w:r w:rsidRPr="00FA45E9">
        <w:rPr>
          <w:rFonts w:ascii="Georgia" w:hAnsi="Georgia"/>
          <w:color w:val="292E31"/>
          <w:highlight w:val="white"/>
        </w:rPr>
        <w:t xml:space="preserve"> The measure would bar health plans from restricting pharmacies from informing patients of the difference they pay out-of-pocket for drugs under their insurance plan compared to the amount they could pay without using insurance.</w:t>
      </w:r>
    </w:p>
    <w:p w14:paraId="6F18044D" w14:textId="6488ED33" w:rsidR="003D5FB5" w:rsidRDefault="003D5FB5" w:rsidP="003D5FB5">
      <w:pPr>
        <w:jc w:val="both"/>
      </w:pPr>
      <w:r w:rsidRPr="00FA45E9">
        <w:rPr>
          <w:rFonts w:ascii="Georgia" w:hAnsi="Georgia"/>
        </w:rPr>
        <w:t>We will have to see how this bill fares in the Senate and whether there will be any changes to the bill. In the meantime, if you have  any questions about this or any other legislative/regulatory activity, feel free to contact us at</w:t>
      </w:r>
      <w:r w:rsidRPr="003D5FB5">
        <w:rPr>
          <w:rFonts w:ascii="Georgia" w:hAnsi="Georgia"/>
        </w:rPr>
        <w:t xml:space="preserve"> </w:t>
      </w:r>
      <w:r w:rsidRPr="00FA45E9">
        <w:rPr>
          <w:rFonts w:ascii="Georgia" w:hAnsi="Georgia"/>
        </w:rPr>
        <w:t>NPSC today.</w:t>
      </w:r>
    </w:p>
    <w:sectPr w:rsidR="003D5F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B354" w14:textId="77777777" w:rsidR="00494EC9" w:rsidRDefault="00494EC9" w:rsidP="00494EC9">
      <w:r>
        <w:separator/>
      </w:r>
    </w:p>
  </w:endnote>
  <w:endnote w:type="continuationSeparator" w:id="0">
    <w:p w14:paraId="2C0C6C5F" w14:textId="77777777" w:rsidR="00494EC9" w:rsidRDefault="00494EC9" w:rsidP="0049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D38F" w14:textId="77777777" w:rsidR="00494EC9" w:rsidRDefault="00494EC9">
    <w:pPr>
      <w:pStyle w:val="Footer"/>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1EFA409A" wp14:editId="018D0CD2">
              <wp:simplePos x="0" y="0"/>
              <wp:positionH relativeFrom="column">
                <wp:posOffset>-275590</wp:posOffset>
              </wp:positionH>
              <wp:positionV relativeFrom="paragraph">
                <wp:posOffset>-193675</wp:posOffset>
              </wp:positionV>
              <wp:extent cx="6828790" cy="808990"/>
              <wp:effectExtent l="63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808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318299" w14:textId="77777777" w:rsidR="00494EC9" w:rsidRDefault="00494EC9" w:rsidP="00494EC9">
                          <w:pPr>
                            <w:widowControl w:val="0"/>
                            <w:jc w:val="center"/>
                            <w:rPr>
                              <w:color w:val="595959"/>
                            </w:rPr>
                          </w:pPr>
                          <w:r>
                            <w:rPr>
                              <w:color w:val="595959"/>
                            </w:rPr>
                            <w:t>Northeast Pharmacy Service Corporation</w:t>
                          </w:r>
                        </w:p>
                        <w:p w14:paraId="556BE4CC" w14:textId="77777777" w:rsidR="00494EC9" w:rsidRDefault="00494EC9" w:rsidP="00494EC9">
                          <w:pPr>
                            <w:widowControl w:val="0"/>
                            <w:jc w:val="center"/>
                            <w:rPr>
                              <w:color w:val="595959"/>
                            </w:rPr>
                          </w:pPr>
                          <w:r>
                            <w:rPr>
                              <w:color w:val="595959"/>
                            </w:rPr>
                            <w:t>1661 Worcester Road    Suite 405    Framingham, MA 01701-5401</w:t>
                          </w:r>
                        </w:p>
                        <w:p w14:paraId="27355AD0" w14:textId="77777777" w:rsidR="00494EC9" w:rsidRDefault="00494EC9" w:rsidP="00494EC9">
                          <w:pPr>
                            <w:widowControl w:val="0"/>
                            <w:jc w:val="center"/>
                            <w:rPr>
                              <w:color w:val="595959"/>
                            </w:rPr>
                          </w:pPr>
                          <w:r>
                            <w:rPr>
                              <w:color w:val="595959"/>
                            </w:rPr>
                            <w:t>800/532.3742     508/875.1866       F: 508/875.6108</w:t>
                          </w:r>
                        </w:p>
                        <w:p w14:paraId="44E9A08C" w14:textId="77777777" w:rsidR="00494EC9" w:rsidRDefault="00494EC9" w:rsidP="00494EC9">
                          <w:pPr>
                            <w:widowControl w:val="0"/>
                            <w:spacing w:line="163" w:lineRule="auto"/>
                            <w:jc w:val="center"/>
                            <w:rPr>
                              <w:color w:val="595959"/>
                            </w:rPr>
                          </w:pPr>
                          <w:r>
                            <w:rPr>
                              <w:color w:val="595959"/>
                            </w:rPr>
                            <w:t>www.northeastpharmacy.com</w:t>
                          </w:r>
                        </w:p>
                        <w:p w14:paraId="51C10389" w14:textId="77777777" w:rsidR="00494EC9" w:rsidRDefault="00494EC9" w:rsidP="00494EC9">
                          <w:pPr>
                            <w:widowControl w:val="0"/>
                            <w:spacing w:line="163" w:lineRule="auto"/>
                            <w:jc w:val="center"/>
                            <w:rPr>
                              <w:rFonts w:ascii="Calibri" w:hAnsi="Calibri"/>
                              <w:color w:val="595959"/>
                            </w:rPr>
                          </w:pPr>
                          <w:r>
                            <w:rPr>
                              <w:color w:val="595959"/>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A409A" id="_x0000_t202" coordsize="21600,21600" o:spt="202" path="m,l,21600r21600,l21600,xe">
              <v:stroke joinstyle="miter"/>
              <v:path gradientshapeok="t" o:connecttype="rect"/>
            </v:shapetype>
            <v:shape id="Text Box 5" o:spid="_x0000_s1026" type="#_x0000_t202" style="position:absolute;margin-left:-21.7pt;margin-top:-15.25pt;width:537.7pt;height:63.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" filled="f" stroked="f" strokecolor="black [0]" insetpen="t">
              <v:textbox inset="2.88pt,2.88pt,2.88pt,2.88pt">
                <w:txbxContent>
                  <w:p w14:paraId="1B318299" w14:textId="77777777" w:rsidR="00494EC9" w:rsidRDefault="00494EC9" w:rsidP="00494EC9">
                    <w:pPr>
                      <w:widowControl w:val="0"/>
                      <w:jc w:val="center"/>
                      <w:rPr>
                        <w:color w:val="595959"/>
                      </w:rPr>
                    </w:pPr>
                    <w:r>
                      <w:rPr>
                        <w:color w:val="595959"/>
                      </w:rPr>
                      <w:t>Northeast Pharmacy Service Corporation</w:t>
                    </w:r>
                  </w:p>
                  <w:p w14:paraId="556BE4CC" w14:textId="77777777" w:rsidR="00494EC9" w:rsidRDefault="00494EC9" w:rsidP="00494EC9">
                    <w:pPr>
                      <w:widowControl w:val="0"/>
                      <w:jc w:val="center"/>
                      <w:rPr>
                        <w:color w:val="595959"/>
                      </w:rPr>
                    </w:pPr>
                    <w:r>
                      <w:rPr>
                        <w:color w:val="595959"/>
                      </w:rPr>
                      <w:t>1661 Worcester Road    Suite 405    Framingham, MA 01701-5401</w:t>
                    </w:r>
                  </w:p>
                  <w:p w14:paraId="27355AD0" w14:textId="77777777" w:rsidR="00494EC9" w:rsidRDefault="00494EC9" w:rsidP="00494EC9">
                    <w:pPr>
                      <w:widowControl w:val="0"/>
                      <w:jc w:val="center"/>
                      <w:rPr>
                        <w:color w:val="595959"/>
                      </w:rPr>
                    </w:pPr>
                    <w:r>
                      <w:rPr>
                        <w:color w:val="595959"/>
                      </w:rPr>
                      <w:t>800/532.3742     508/875.1866       F: 508/875.6108</w:t>
                    </w:r>
                  </w:p>
                  <w:p w14:paraId="44E9A08C" w14:textId="77777777" w:rsidR="00494EC9" w:rsidRDefault="00494EC9" w:rsidP="00494EC9">
                    <w:pPr>
                      <w:widowControl w:val="0"/>
                      <w:spacing w:line="163" w:lineRule="auto"/>
                      <w:jc w:val="center"/>
                      <w:rPr>
                        <w:color w:val="595959"/>
                      </w:rPr>
                    </w:pPr>
                    <w:r>
                      <w:rPr>
                        <w:color w:val="595959"/>
                      </w:rPr>
                      <w:t>www.northeastpharmacy.com</w:t>
                    </w:r>
                  </w:p>
                  <w:p w14:paraId="51C10389" w14:textId="77777777" w:rsidR="00494EC9" w:rsidRDefault="00494EC9" w:rsidP="00494EC9">
                    <w:pPr>
                      <w:widowControl w:val="0"/>
                      <w:spacing w:line="163" w:lineRule="auto"/>
                      <w:jc w:val="center"/>
                      <w:rPr>
                        <w:rFonts w:ascii="Calibri" w:hAnsi="Calibri"/>
                        <w:color w:val="595959"/>
                      </w:rPr>
                    </w:pPr>
                    <w:r>
                      <w:rPr>
                        <w:color w:val="595959"/>
                      </w:rPr>
                      <w:t> </w:t>
                    </w:r>
                  </w:p>
                </w:txbxContent>
              </v:textbox>
            </v:shape>
          </w:pict>
        </mc:Fallback>
      </mc:AlternateContent>
    </w:r>
  </w:p>
  <w:p w14:paraId="1031F7EF" w14:textId="77777777" w:rsidR="00494EC9" w:rsidRDefault="0049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11C8" w14:textId="77777777" w:rsidR="00494EC9" w:rsidRDefault="00494EC9" w:rsidP="00494EC9">
      <w:r>
        <w:separator/>
      </w:r>
    </w:p>
  </w:footnote>
  <w:footnote w:type="continuationSeparator" w:id="0">
    <w:p w14:paraId="4EB2216C" w14:textId="77777777" w:rsidR="00494EC9" w:rsidRDefault="00494EC9" w:rsidP="0049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CDA6" w14:textId="738ADA65" w:rsidR="00494EC9" w:rsidRDefault="00494EC9">
    <w:pPr>
      <w:pStyle w:val="Header"/>
    </w:pPr>
    <w:r>
      <w:ptab w:relativeTo="margin" w:alignment="center" w:leader="none"/>
    </w:r>
    <w:r w:rsidR="00D17BE0">
      <w:rPr>
        <w:noProof/>
      </w:rPr>
      <w:drawing>
        <wp:inline distT="0" distB="0" distL="0" distR="0" wp14:anchorId="1EB1CD3B" wp14:editId="4E30B945">
          <wp:extent cx="1531620" cy="832245"/>
          <wp:effectExtent l="0" t="0" r="0" b="6350"/>
          <wp:docPr id="1228897949"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7949" name="Picture 1" descr="A black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44" cy="849863"/>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4A45"/>
    <w:multiLevelType w:val="multilevel"/>
    <w:tmpl w:val="DA72EC4A"/>
    <w:lvl w:ilvl="0">
      <w:start w:val="1"/>
      <w:numFmt w:val="bullet"/>
      <w:lvlText w:val="●"/>
      <w:lvlJc w:val="left"/>
      <w:pPr>
        <w:ind w:left="720" w:hanging="360"/>
      </w:pPr>
      <w:rPr>
        <w:rFonts w:ascii="Arial" w:eastAsia="Arial" w:hAnsi="Arial" w:cs="Arial"/>
        <w:color w:val="292E3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083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C9"/>
    <w:rsid w:val="000573F2"/>
    <w:rsid w:val="002A1FF8"/>
    <w:rsid w:val="003D5FB5"/>
    <w:rsid w:val="004328AC"/>
    <w:rsid w:val="00494EC9"/>
    <w:rsid w:val="005019EE"/>
    <w:rsid w:val="007207FA"/>
    <w:rsid w:val="00936A94"/>
    <w:rsid w:val="00AE05E2"/>
    <w:rsid w:val="00BC6186"/>
    <w:rsid w:val="00BD4D78"/>
    <w:rsid w:val="00BF1357"/>
    <w:rsid w:val="00CC523F"/>
    <w:rsid w:val="00D17BE0"/>
    <w:rsid w:val="00FB2D1E"/>
    <w:rsid w:val="00FE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998CC4"/>
  <w15:docId w15:val="{CDC55872-C799-4404-9F21-2F98F240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EC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4EC9"/>
  </w:style>
  <w:style w:type="paragraph" w:styleId="Footer">
    <w:name w:val="footer"/>
    <w:basedOn w:val="Normal"/>
    <w:link w:val="FooterChar"/>
    <w:uiPriority w:val="99"/>
    <w:unhideWhenUsed/>
    <w:rsid w:val="00494EC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4EC9"/>
  </w:style>
  <w:style w:type="paragraph" w:styleId="BalloonText">
    <w:name w:val="Balloon Text"/>
    <w:basedOn w:val="Normal"/>
    <w:link w:val="BalloonTextChar"/>
    <w:uiPriority w:val="99"/>
    <w:semiHidden/>
    <w:unhideWhenUsed/>
    <w:rsid w:val="00494EC9"/>
    <w:rPr>
      <w:rFonts w:ascii="Tahoma" w:hAnsi="Tahoma" w:cs="Tahoma"/>
      <w:sz w:val="16"/>
      <w:szCs w:val="16"/>
    </w:rPr>
  </w:style>
  <w:style w:type="character" w:customStyle="1" w:styleId="BalloonTextChar">
    <w:name w:val="Balloon Text Char"/>
    <w:basedOn w:val="DefaultParagraphFont"/>
    <w:link w:val="BalloonText"/>
    <w:uiPriority w:val="99"/>
    <w:semiHidden/>
    <w:rsid w:val="00494EC9"/>
    <w:rPr>
      <w:rFonts w:ascii="Tahoma" w:hAnsi="Tahoma" w:cs="Tahoma"/>
      <w:sz w:val="16"/>
      <w:szCs w:val="16"/>
    </w:rPr>
  </w:style>
  <w:style w:type="table" w:styleId="TableGrid">
    <w:name w:val="Table Grid"/>
    <w:basedOn w:val="TableNormal"/>
    <w:uiPriority w:val="39"/>
    <w:rsid w:val="00BD4D78"/>
    <w:pPr>
      <w:widowControl w:val="0"/>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0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Kacian McCoy</dc:creator>
  <cp:lastModifiedBy>Susan Kurina</cp:lastModifiedBy>
  <cp:revision>2</cp:revision>
  <cp:lastPrinted>2023-10-30T14:32:00Z</cp:lastPrinted>
  <dcterms:created xsi:type="dcterms:W3CDTF">2023-12-27T16:13:00Z</dcterms:created>
  <dcterms:modified xsi:type="dcterms:W3CDTF">2023-12-27T16:13:00Z</dcterms:modified>
</cp:coreProperties>
</file>